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D5" w:rsidRDefault="003F443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-1238885</wp:posOffset>
            </wp:positionV>
            <wp:extent cx="1905000" cy="1371600"/>
            <wp:effectExtent l="0" t="0" r="0" b="0"/>
            <wp:wrapNone/>
            <wp:docPr id="2" name="Image 2" descr="C:\Users\SPARTIEN-06020\Documents\DOC UTILES\Logo\2022 logo_CGSS 200x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ARTIEN-06020\Documents\DOC UTILES\Logo\2022 logo_CGSS 200x1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D5" w:rsidRDefault="00A4510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80"/>
          <w:sz w:val="28"/>
          <w:szCs w:val="28"/>
        </w:rPr>
      </w:pPr>
      <w:r>
        <w:rPr>
          <w:rFonts w:ascii="Arial" w:eastAsia="Arial" w:hAnsi="Arial" w:cs="Arial"/>
          <w:b/>
          <w:i/>
          <w:color w:val="000080"/>
          <w:sz w:val="28"/>
          <w:szCs w:val="28"/>
        </w:rPr>
        <w:t xml:space="preserve">BULLETIN D’OPTION DE PLACEMENT </w:t>
      </w:r>
    </w:p>
    <w:p w:rsidR="004D56D5" w:rsidRDefault="00A4510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80"/>
          <w:sz w:val="28"/>
          <w:szCs w:val="28"/>
        </w:rPr>
      </w:pPr>
      <w:r>
        <w:rPr>
          <w:rFonts w:ascii="Arial" w:eastAsia="Arial" w:hAnsi="Arial" w:cs="Arial"/>
          <w:b/>
          <w:i/>
          <w:color w:val="000080"/>
          <w:sz w:val="28"/>
          <w:szCs w:val="28"/>
        </w:rPr>
        <w:t>INTERESSEMENT 20</w:t>
      </w:r>
      <w:r w:rsidR="003F4433">
        <w:rPr>
          <w:rFonts w:ascii="Arial" w:eastAsia="Arial" w:hAnsi="Arial" w:cs="Arial"/>
          <w:b/>
          <w:i/>
          <w:color w:val="000080"/>
          <w:sz w:val="28"/>
          <w:szCs w:val="28"/>
        </w:rPr>
        <w:t>2</w:t>
      </w:r>
      <w:r w:rsidR="00F07F15">
        <w:rPr>
          <w:rFonts w:ascii="Arial" w:eastAsia="Arial" w:hAnsi="Arial" w:cs="Arial"/>
          <w:b/>
          <w:i/>
          <w:color w:val="000080"/>
          <w:sz w:val="28"/>
          <w:szCs w:val="28"/>
        </w:rPr>
        <w:t>3</w:t>
      </w:r>
    </w:p>
    <w:p w:rsidR="004D56D5" w:rsidRDefault="00A45106">
      <w:r>
        <w:rPr>
          <w:color w:val="000000"/>
        </w:rPr>
        <w:t xml:space="preserve"> </w:t>
      </w:r>
    </w:p>
    <w:p w:rsidR="00612A69" w:rsidRDefault="00A45106" w:rsidP="00612A69">
      <w:pPr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</w:rPr>
        <w:t xml:space="preserve">Votre choix doit parvenir au service GAP </w:t>
      </w:r>
      <w:r w:rsidR="00F25181" w:rsidRPr="00F25181">
        <w:rPr>
          <w:b/>
          <w:i/>
          <w:color w:val="002060"/>
          <w:sz w:val="28"/>
          <w:szCs w:val="28"/>
          <w:highlight w:val="yellow"/>
        </w:rPr>
        <w:t>au plus tard</w:t>
      </w:r>
      <w:r w:rsidRPr="00F25181">
        <w:rPr>
          <w:b/>
          <w:i/>
          <w:color w:val="002060"/>
          <w:sz w:val="28"/>
          <w:szCs w:val="28"/>
          <w:highlight w:val="yellow"/>
        </w:rPr>
        <w:t xml:space="preserve"> le </w:t>
      </w:r>
      <w:r w:rsidR="00F25181" w:rsidRPr="00F25181">
        <w:rPr>
          <w:b/>
          <w:i/>
          <w:color w:val="002060"/>
          <w:sz w:val="28"/>
          <w:szCs w:val="28"/>
          <w:highlight w:val="yellow"/>
        </w:rPr>
        <w:t>2</w:t>
      </w:r>
      <w:r w:rsidR="00F07F15">
        <w:rPr>
          <w:b/>
          <w:i/>
          <w:color w:val="002060"/>
          <w:sz w:val="28"/>
          <w:szCs w:val="28"/>
          <w:highlight w:val="yellow"/>
        </w:rPr>
        <w:t xml:space="preserve">2 </w:t>
      </w:r>
      <w:r w:rsidR="00F25181" w:rsidRPr="00F25181">
        <w:rPr>
          <w:b/>
          <w:i/>
          <w:color w:val="002060"/>
          <w:sz w:val="28"/>
          <w:szCs w:val="28"/>
          <w:highlight w:val="yellow"/>
        </w:rPr>
        <w:t xml:space="preserve">Avril </w:t>
      </w:r>
      <w:r w:rsidR="00F25181" w:rsidRPr="00F07F15">
        <w:rPr>
          <w:b/>
          <w:i/>
          <w:color w:val="002060"/>
          <w:sz w:val="28"/>
          <w:szCs w:val="28"/>
          <w:highlight w:val="yellow"/>
        </w:rPr>
        <w:t>202</w:t>
      </w:r>
      <w:r w:rsidR="00F07F15" w:rsidRPr="00F07F15">
        <w:rPr>
          <w:b/>
          <w:i/>
          <w:color w:val="002060"/>
          <w:sz w:val="28"/>
          <w:szCs w:val="28"/>
          <w:highlight w:val="yellow"/>
        </w:rPr>
        <w:t>4</w:t>
      </w:r>
    </w:p>
    <w:p w:rsidR="004D56D5" w:rsidRDefault="00A45106" w:rsidP="00612A69">
      <w:pPr>
        <w:rPr>
          <w:sz w:val="28"/>
          <w:szCs w:val="28"/>
        </w:rPr>
      </w:pPr>
      <w:r>
        <w:rPr>
          <w:sz w:val="28"/>
          <w:szCs w:val="28"/>
        </w:rPr>
        <w:t xml:space="preserve">Je soussigné(e) …………………………………………………………………………………… </w:t>
      </w:r>
    </w:p>
    <w:p w:rsidR="004D56D5" w:rsidRDefault="00A45106">
      <w:pPr>
        <w:jc w:val="both"/>
        <w:rPr>
          <w:sz w:val="28"/>
          <w:szCs w:val="28"/>
        </w:rPr>
      </w:pPr>
      <w:r>
        <w:rPr>
          <w:sz w:val="28"/>
          <w:szCs w:val="28"/>
        </w:rPr>
        <w:t>N° Agent : ……………………………………………………………………………………</w:t>
      </w:r>
    </w:p>
    <w:p w:rsidR="004D56D5" w:rsidRDefault="00A45106">
      <w:pPr>
        <w:jc w:val="both"/>
        <w:rPr>
          <w:sz w:val="28"/>
          <w:szCs w:val="28"/>
        </w:rPr>
      </w:pPr>
      <w:r>
        <w:rPr>
          <w:sz w:val="28"/>
          <w:szCs w:val="28"/>
        </w:rPr>
        <w:t>Demande à ce que mon intéressement soit traité selon les modalités suivantes :</w:t>
      </w:r>
    </w:p>
    <w:p w:rsidR="004D56D5" w:rsidRDefault="00A45106">
      <w:pPr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7392">
        <w:rPr>
          <w:highlight w:val="yellow"/>
        </w:rPr>
        <w:t>…</w:t>
      </w:r>
      <w:r w:rsidRPr="00527392">
        <w:rPr>
          <w:sz w:val="28"/>
          <w:szCs w:val="28"/>
          <w:highlight w:val="yellow"/>
        </w:rPr>
        <w:t>…….</w:t>
      </w:r>
      <w:r>
        <w:rPr>
          <w:sz w:val="28"/>
          <w:szCs w:val="28"/>
        </w:rPr>
        <w:t xml:space="preserve">  % soit versé sur mon compte bancaire</w:t>
      </w:r>
    </w:p>
    <w:p w:rsidR="004D56D5" w:rsidRDefault="00A45106">
      <w:pPr>
        <w:ind w:left="708" w:firstLine="708"/>
        <w:jc w:val="both"/>
        <w:rPr>
          <w:sz w:val="32"/>
          <w:szCs w:val="32"/>
          <w:vertAlign w:val="superscript"/>
        </w:rPr>
      </w:pPr>
      <w:bookmarkStart w:id="1" w:name="_30j0zll" w:colFirst="0" w:colLast="0"/>
      <w:bookmarkEnd w:id="1"/>
      <w:r w:rsidRPr="00527392">
        <w:rPr>
          <w:highlight w:val="yellow"/>
        </w:rPr>
        <w:t>…</w:t>
      </w:r>
      <w:r w:rsidRPr="00527392">
        <w:rPr>
          <w:sz w:val="28"/>
          <w:szCs w:val="28"/>
          <w:highlight w:val="yellow"/>
        </w:rPr>
        <w:t>…….</w:t>
      </w:r>
      <w:r>
        <w:rPr>
          <w:sz w:val="28"/>
          <w:szCs w:val="28"/>
        </w:rPr>
        <w:t xml:space="preserve">  % soit placé sur le fond PEI Label monétaire </w:t>
      </w:r>
      <w:r>
        <w:rPr>
          <w:sz w:val="32"/>
          <w:szCs w:val="32"/>
          <w:vertAlign w:val="superscript"/>
        </w:rPr>
        <w:t>(1)</w:t>
      </w:r>
    </w:p>
    <w:p w:rsidR="004D56D5" w:rsidRDefault="00A45106">
      <w:pPr>
        <w:ind w:left="708" w:firstLine="708"/>
        <w:jc w:val="both"/>
        <w:rPr>
          <w:sz w:val="28"/>
          <w:szCs w:val="28"/>
        </w:rPr>
      </w:pPr>
      <w:r w:rsidRPr="00527392">
        <w:rPr>
          <w:highlight w:val="yellow"/>
        </w:rPr>
        <w:t>…</w:t>
      </w:r>
      <w:r w:rsidRPr="00527392">
        <w:rPr>
          <w:sz w:val="28"/>
          <w:szCs w:val="28"/>
          <w:highlight w:val="yellow"/>
        </w:rPr>
        <w:t>…….</w:t>
      </w:r>
      <w:r>
        <w:rPr>
          <w:sz w:val="28"/>
          <w:szCs w:val="28"/>
        </w:rPr>
        <w:t xml:space="preserve">  % soit placé sur le fond PER</w:t>
      </w:r>
      <w:r w:rsidR="00F2621D">
        <w:rPr>
          <w:sz w:val="28"/>
          <w:szCs w:val="28"/>
        </w:rPr>
        <w:t xml:space="preserve"> </w:t>
      </w:r>
      <w:r>
        <w:rPr>
          <w:sz w:val="28"/>
          <w:szCs w:val="28"/>
        </w:rPr>
        <w:t>CO</w:t>
      </w:r>
      <w:r w:rsidR="00F2621D">
        <w:rPr>
          <w:sz w:val="28"/>
          <w:szCs w:val="28"/>
        </w:rPr>
        <w:t>L I</w:t>
      </w:r>
      <w:r>
        <w:rPr>
          <w:sz w:val="28"/>
          <w:szCs w:val="28"/>
        </w:rPr>
        <w:t xml:space="preserve"> </w:t>
      </w:r>
      <w:r>
        <w:rPr>
          <w:sz w:val="32"/>
          <w:szCs w:val="32"/>
          <w:vertAlign w:val="superscript"/>
        </w:rPr>
        <w:t>(1)</w:t>
      </w:r>
    </w:p>
    <w:p w:rsidR="004D56D5" w:rsidRDefault="00A451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Vous aurez la possibilité, une fois le placement fait sur votre compte AMUNDI, d'effectuer un arbitrage de ce placement en le répartissant sur les autres supports disponibles</w:t>
      </w:r>
    </w:p>
    <w:p w:rsidR="004D56D5" w:rsidRDefault="00A45106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color w:val="002060"/>
          <w:sz w:val="24"/>
          <w:szCs w:val="24"/>
        </w:rPr>
      </w:pPr>
      <w:r>
        <w:rPr>
          <w:b/>
          <w:i/>
          <w:color w:val="0070C0"/>
          <w:sz w:val="24"/>
          <w:szCs w:val="24"/>
          <w:u w:val="single"/>
        </w:rPr>
        <w:t>Important :</w:t>
      </w:r>
      <w:r>
        <w:rPr>
          <w:b/>
          <w:i/>
          <w:color w:val="0070C0"/>
          <w:sz w:val="24"/>
          <w:szCs w:val="24"/>
        </w:rPr>
        <w:t xml:space="preserve"> </w:t>
      </w:r>
      <w:r>
        <w:rPr>
          <w:b/>
          <w:i/>
          <w:color w:val="002060"/>
          <w:sz w:val="24"/>
          <w:szCs w:val="24"/>
        </w:rPr>
        <w:t xml:space="preserve">Il convient de retourner ce bulletin d’option </w:t>
      </w:r>
      <w:r w:rsidRPr="00527392">
        <w:rPr>
          <w:b/>
          <w:i/>
          <w:color w:val="FF0000"/>
          <w:sz w:val="24"/>
          <w:szCs w:val="24"/>
          <w:highlight w:val="yellow"/>
        </w:rPr>
        <w:t>impérativement</w:t>
      </w:r>
      <w:r>
        <w:rPr>
          <w:b/>
          <w:i/>
          <w:color w:val="002060"/>
          <w:sz w:val="24"/>
          <w:szCs w:val="24"/>
        </w:rPr>
        <w:t xml:space="preserve"> par mail aux adresses suivantes :</w:t>
      </w:r>
    </w:p>
    <w:p w:rsidR="004D56D5" w:rsidRPr="00527392" w:rsidRDefault="00F25181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color w:val="002060"/>
          <w:sz w:val="32"/>
          <w:szCs w:val="24"/>
        </w:rPr>
      </w:pPr>
      <w:r w:rsidRPr="00527392">
        <w:rPr>
          <w:b/>
          <w:i/>
          <w:color w:val="002060"/>
          <w:sz w:val="32"/>
          <w:szCs w:val="24"/>
        </w:rPr>
        <w:t>MD819701-Interessement</w:t>
      </w:r>
      <w:r w:rsidR="00A45106" w:rsidRPr="00527392">
        <w:rPr>
          <w:b/>
          <w:i/>
          <w:color w:val="002060"/>
          <w:sz w:val="32"/>
          <w:szCs w:val="24"/>
        </w:rPr>
        <w:t xml:space="preserve"> (en interne)</w:t>
      </w:r>
    </w:p>
    <w:p w:rsidR="004D56D5" w:rsidRPr="00527392" w:rsidRDefault="008357F2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color w:val="002060"/>
          <w:sz w:val="32"/>
          <w:szCs w:val="24"/>
        </w:rPr>
      </w:pPr>
      <w:hyperlink r:id="rId9" w:history="1">
        <w:r w:rsidR="003B5212" w:rsidRPr="00527392">
          <w:rPr>
            <w:rStyle w:val="Lienhypertexte"/>
            <w:b/>
            <w:i/>
            <w:sz w:val="32"/>
            <w:szCs w:val="24"/>
          </w:rPr>
          <w:t>interessement@cgss-guadeloupe.fr</w:t>
        </w:r>
      </w:hyperlink>
      <w:r w:rsidR="003B5212" w:rsidRPr="00527392">
        <w:rPr>
          <w:b/>
          <w:i/>
          <w:color w:val="002060"/>
          <w:sz w:val="32"/>
          <w:szCs w:val="24"/>
        </w:rPr>
        <w:t xml:space="preserve"> </w:t>
      </w:r>
      <w:r w:rsidR="00A45106" w:rsidRPr="00527392">
        <w:rPr>
          <w:b/>
          <w:i/>
          <w:color w:val="002060"/>
          <w:sz w:val="32"/>
          <w:szCs w:val="24"/>
        </w:rPr>
        <w:t>(à l’extérieur)</w:t>
      </w:r>
    </w:p>
    <w:p w:rsidR="004D56D5" w:rsidRDefault="00A45106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  <w:highlight w:val="yellow"/>
        </w:rPr>
        <w:t xml:space="preserve">En cas de difficultés et à titre exceptionnel, merci de laisser un </w:t>
      </w:r>
      <w:proofErr w:type="gramStart"/>
      <w:r>
        <w:rPr>
          <w:b/>
          <w:i/>
          <w:color w:val="002060"/>
          <w:sz w:val="24"/>
          <w:szCs w:val="24"/>
          <w:highlight w:val="yellow"/>
        </w:rPr>
        <w:t>message  exclusivement</w:t>
      </w:r>
      <w:proofErr w:type="gramEnd"/>
      <w:r>
        <w:rPr>
          <w:b/>
          <w:i/>
          <w:color w:val="002060"/>
          <w:sz w:val="24"/>
          <w:szCs w:val="24"/>
          <w:highlight w:val="yellow"/>
        </w:rPr>
        <w:t xml:space="preserve"> par écrit </w:t>
      </w:r>
      <w:r w:rsidR="00612A69">
        <w:rPr>
          <w:b/>
          <w:i/>
          <w:color w:val="002060"/>
          <w:sz w:val="24"/>
          <w:szCs w:val="24"/>
        </w:rPr>
        <w:t xml:space="preserve"> au numéro</w:t>
      </w:r>
      <w:r>
        <w:rPr>
          <w:b/>
          <w:i/>
          <w:color w:val="002060"/>
          <w:sz w:val="24"/>
          <w:szCs w:val="24"/>
        </w:rPr>
        <w:t xml:space="preserve"> suivant : </w:t>
      </w:r>
    </w:p>
    <w:p w:rsidR="00C0107F" w:rsidRDefault="00A45106" w:rsidP="00C0107F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0690 34 53 65</w:t>
      </w:r>
      <w:bookmarkStart w:id="2" w:name="_GoBack"/>
      <w:bookmarkEnd w:id="2"/>
    </w:p>
    <w:p w:rsidR="003F4433" w:rsidRDefault="00A45106" w:rsidP="00C0107F">
      <w:pPr>
        <w:pBdr>
          <w:top w:val="single" w:sz="4" w:space="18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b/>
          <w:i/>
          <w:color w:val="00206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i/>
          <w:color w:val="002060"/>
          <w:sz w:val="24"/>
          <w:szCs w:val="24"/>
        </w:rPr>
        <w:t xml:space="preserve">Faute de renvoi de ce bulletin avant la date indiquée, l’intéressement </w:t>
      </w:r>
      <w:r w:rsidR="00C0107F">
        <w:rPr>
          <w:b/>
          <w:i/>
          <w:color w:val="002060"/>
          <w:sz w:val="24"/>
          <w:szCs w:val="24"/>
        </w:rPr>
        <w:t>202</w:t>
      </w:r>
      <w:r w:rsidR="005F5FC2">
        <w:rPr>
          <w:b/>
          <w:i/>
          <w:color w:val="002060"/>
          <w:sz w:val="24"/>
          <w:szCs w:val="24"/>
        </w:rPr>
        <w:t>3</w:t>
      </w:r>
      <w:r w:rsidR="00C0107F">
        <w:rPr>
          <w:b/>
          <w:i/>
          <w:color w:val="002060"/>
          <w:sz w:val="24"/>
          <w:szCs w:val="24"/>
        </w:rPr>
        <w:t xml:space="preserve"> versé en 202</w:t>
      </w:r>
      <w:r w:rsidR="005F5FC2">
        <w:rPr>
          <w:b/>
          <w:i/>
          <w:color w:val="002060"/>
          <w:sz w:val="24"/>
          <w:szCs w:val="24"/>
        </w:rPr>
        <w:t>4</w:t>
      </w:r>
      <w:r>
        <w:rPr>
          <w:b/>
          <w:i/>
          <w:color w:val="002060"/>
          <w:sz w:val="24"/>
          <w:szCs w:val="24"/>
        </w:rPr>
        <w:t xml:space="preserve"> sera placé </w:t>
      </w:r>
      <w:r w:rsidR="003F4433">
        <w:rPr>
          <w:b/>
          <w:i/>
          <w:color w:val="002060"/>
          <w:sz w:val="24"/>
          <w:szCs w:val="24"/>
        </w:rPr>
        <w:t>dans le fond présentant le profil risque le moins élevé du PEI (</w:t>
      </w:r>
      <w:proofErr w:type="spellStart"/>
      <w:r w:rsidR="003F4433">
        <w:rPr>
          <w:b/>
          <w:i/>
          <w:color w:val="002060"/>
          <w:sz w:val="24"/>
          <w:szCs w:val="24"/>
        </w:rPr>
        <w:t>Amundi</w:t>
      </w:r>
      <w:proofErr w:type="spellEnd"/>
      <w:r w:rsidR="003F4433">
        <w:rPr>
          <w:b/>
          <w:i/>
          <w:color w:val="002060"/>
          <w:sz w:val="24"/>
          <w:szCs w:val="24"/>
        </w:rPr>
        <w:t xml:space="preserve"> Label Monétaire ESR)</w:t>
      </w:r>
    </w:p>
    <w:p w:rsidR="00612A69" w:rsidRDefault="00612A69" w:rsidP="00612A69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1560"/>
        <w:jc w:val="both"/>
        <w:rPr>
          <w:b/>
          <w:color w:val="002060"/>
          <w:sz w:val="24"/>
          <w:szCs w:val="24"/>
        </w:rPr>
      </w:pPr>
    </w:p>
    <w:p w:rsidR="004D56D5" w:rsidRDefault="00A45106" w:rsidP="00C0107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before="60" w:after="0" w:line="240" w:lineRule="auto"/>
        <w:ind w:firstLine="1560"/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Modalités de complétude du bulletin d’option</w:t>
      </w:r>
    </w:p>
    <w:p w:rsidR="004D56D5" w:rsidRDefault="004D56D5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2127"/>
        <w:jc w:val="both"/>
        <w:rPr>
          <w:color w:val="000000"/>
          <w:sz w:val="24"/>
          <w:szCs w:val="24"/>
        </w:rPr>
      </w:pPr>
      <w:bookmarkStart w:id="3" w:name="_1fob9te" w:colFirst="0" w:colLast="0"/>
      <w:bookmarkEnd w:id="3"/>
    </w:p>
    <w:p w:rsidR="004D56D5" w:rsidRDefault="00A451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 salarié souhaite percevoir en totalité son intéressement</w:t>
      </w:r>
    </w:p>
    <w:p w:rsidR="004D56D5" w:rsidRDefault="00A4510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salarié indique 100% sur la ligne versement </w:t>
      </w:r>
      <w:r>
        <w:rPr>
          <w:b/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Il verra donc son montant d’intéressement versé sur son compte bancaire.</w:t>
      </w:r>
    </w:p>
    <w:p w:rsidR="004D56D5" w:rsidRDefault="004D56D5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1560"/>
        <w:jc w:val="both"/>
        <w:rPr>
          <w:color w:val="000000"/>
          <w:sz w:val="28"/>
          <w:szCs w:val="28"/>
        </w:rPr>
      </w:pPr>
      <w:bookmarkStart w:id="4" w:name="_3znysh7" w:colFirst="0" w:colLast="0"/>
      <w:bookmarkEnd w:id="4"/>
    </w:p>
    <w:p w:rsidR="004D56D5" w:rsidRDefault="00A451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 salarié souhaite placer en totalité son intéressement</w:t>
      </w:r>
    </w:p>
    <w:p w:rsidR="004D56D5" w:rsidRDefault="00A4510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salarié indique le ou les pourcentages (ex : 60% sur le PEI et 40% sur le PER</w:t>
      </w:r>
      <w:r w:rsidR="00F262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</w:t>
      </w:r>
      <w:r w:rsidR="00F2621D">
        <w:rPr>
          <w:color w:val="000000"/>
          <w:sz w:val="28"/>
          <w:szCs w:val="28"/>
        </w:rPr>
        <w:t>L I</w:t>
      </w:r>
      <w:r>
        <w:rPr>
          <w:color w:val="000000"/>
          <w:sz w:val="28"/>
          <w:szCs w:val="28"/>
        </w:rPr>
        <w:t xml:space="preserve">) sur chaque ligne de placement selon son souhait de répartition </w:t>
      </w:r>
      <w:r>
        <w:rPr>
          <w:b/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Il verra donc son montant total d’intéressement placé à hauteur de 60% du montant sur le fond PEI et 40% du montant sur le fond PER</w:t>
      </w:r>
      <w:r w:rsidR="00F262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</w:t>
      </w:r>
      <w:r w:rsidR="00F2621D">
        <w:rPr>
          <w:color w:val="000000"/>
          <w:sz w:val="28"/>
          <w:szCs w:val="28"/>
        </w:rPr>
        <w:t>L I</w:t>
      </w:r>
      <w:r>
        <w:rPr>
          <w:color w:val="000000"/>
          <w:sz w:val="28"/>
          <w:szCs w:val="28"/>
        </w:rPr>
        <w:t xml:space="preserve">. </w:t>
      </w:r>
    </w:p>
    <w:p w:rsidR="004D56D5" w:rsidRDefault="004D56D5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</w:p>
    <w:p w:rsidR="004D56D5" w:rsidRDefault="00A451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 salarié souhaite percevoir une partie de son intéressement et placer le solde sur un ou les deux fonds</w:t>
      </w:r>
      <w:r>
        <w:rPr>
          <w:color w:val="000000"/>
          <w:sz w:val="28"/>
          <w:szCs w:val="28"/>
        </w:rPr>
        <w:t xml:space="preserve"> (ex : Versement de 70% et placement de 10% sur le PEI et 20% sur le PER</w:t>
      </w:r>
      <w:r w:rsidR="00F262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</w:t>
      </w:r>
      <w:r w:rsidR="00F2621D">
        <w:rPr>
          <w:color w:val="000000"/>
          <w:sz w:val="28"/>
          <w:szCs w:val="28"/>
        </w:rPr>
        <w:t>L I</w:t>
      </w:r>
      <w:r>
        <w:rPr>
          <w:color w:val="000000"/>
          <w:sz w:val="28"/>
          <w:szCs w:val="28"/>
        </w:rPr>
        <w:t>)</w:t>
      </w:r>
    </w:p>
    <w:p w:rsidR="004D56D5" w:rsidRDefault="00A4510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salarié indique :</w:t>
      </w:r>
    </w:p>
    <w:p w:rsidR="004D56D5" w:rsidRDefault="00A451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60" w:after="0" w:line="240" w:lineRule="auto"/>
        <w:ind w:left="2127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70% sur la ligne versement</w:t>
      </w:r>
    </w:p>
    <w:p w:rsidR="004D56D5" w:rsidRDefault="00A451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60" w:after="0" w:line="240" w:lineRule="auto"/>
        <w:ind w:left="2127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10% sur le PEI</w:t>
      </w:r>
    </w:p>
    <w:p w:rsidR="004D56D5" w:rsidRDefault="00A451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60" w:after="0" w:line="240" w:lineRule="auto"/>
        <w:ind w:left="2127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20% sur le PER</w:t>
      </w:r>
      <w:r w:rsidR="00F262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</w:t>
      </w:r>
      <w:r w:rsidR="00F2621D">
        <w:rPr>
          <w:color w:val="000000"/>
          <w:sz w:val="28"/>
          <w:szCs w:val="28"/>
        </w:rPr>
        <w:t>L I</w:t>
      </w:r>
    </w:p>
    <w:p w:rsidR="004D56D5" w:rsidRDefault="00A4510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15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Il verra donc son montant total d’intéressement :</w:t>
      </w:r>
    </w:p>
    <w:p w:rsidR="004D56D5" w:rsidRDefault="00A451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1985" w:firstLine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versé</w:t>
      </w:r>
      <w:proofErr w:type="gramEnd"/>
      <w:r>
        <w:rPr>
          <w:color w:val="000000"/>
          <w:sz w:val="28"/>
          <w:szCs w:val="28"/>
        </w:rPr>
        <w:t xml:space="preserve"> à hauteur de 70 % du montant calculé sur son compte courant.</w:t>
      </w:r>
    </w:p>
    <w:p w:rsidR="004D56D5" w:rsidRDefault="00A451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0" w:firstLine="198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placé</w:t>
      </w:r>
      <w:proofErr w:type="gramEnd"/>
      <w:r>
        <w:rPr>
          <w:color w:val="000000"/>
          <w:sz w:val="28"/>
          <w:szCs w:val="28"/>
        </w:rPr>
        <w:t xml:space="preserve"> à hauteur de 10 % du montant calculé sur le fond PEI</w:t>
      </w:r>
    </w:p>
    <w:p w:rsidR="004D56D5" w:rsidRDefault="00A451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1985" w:firstLine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placé</w:t>
      </w:r>
      <w:proofErr w:type="gramEnd"/>
      <w:r>
        <w:rPr>
          <w:color w:val="000000"/>
          <w:sz w:val="28"/>
          <w:szCs w:val="28"/>
        </w:rPr>
        <w:t xml:space="preserve"> à hauteur de 20 % du montant calculé sur le fond PER</w:t>
      </w:r>
      <w:r w:rsidR="00F262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="00F2621D">
        <w:rPr>
          <w:color w:val="000000"/>
          <w:sz w:val="28"/>
          <w:szCs w:val="28"/>
        </w:rPr>
        <w:t>OL I</w:t>
      </w:r>
    </w:p>
    <w:p w:rsidR="004D56D5" w:rsidRDefault="004D56D5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1985"/>
        <w:jc w:val="both"/>
        <w:rPr>
          <w:color w:val="000000"/>
          <w:sz w:val="28"/>
          <w:szCs w:val="28"/>
        </w:rPr>
      </w:pPr>
    </w:p>
    <w:p w:rsidR="004D56D5" w:rsidRDefault="00A451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60" w:after="0" w:line="240" w:lineRule="auto"/>
        <w:jc w:val="both"/>
        <w:rPr>
          <w:color w:val="0070C0"/>
          <w:sz w:val="24"/>
          <w:szCs w:val="24"/>
          <w:u w:val="single"/>
        </w:rPr>
      </w:pPr>
      <w:r>
        <w:rPr>
          <w:b/>
          <w:i/>
          <w:color w:val="0070C0"/>
          <w:sz w:val="24"/>
          <w:szCs w:val="24"/>
          <w:u w:val="single"/>
        </w:rPr>
        <w:t>A noter pour les 2 dernières modalités présentées ci-dessus :</w:t>
      </w:r>
    </w:p>
    <w:p w:rsidR="004D56D5" w:rsidRDefault="00A45106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60" w:after="0" w:line="240" w:lineRule="auto"/>
        <w:ind w:left="0" w:firstLine="426"/>
        <w:jc w:val="both"/>
        <w:rPr>
          <w:color w:val="0F243E"/>
          <w:sz w:val="24"/>
          <w:szCs w:val="24"/>
        </w:rPr>
      </w:pPr>
      <w:r>
        <w:rPr>
          <w:b/>
          <w:i/>
          <w:color w:val="0F243E"/>
          <w:sz w:val="24"/>
          <w:szCs w:val="24"/>
        </w:rPr>
        <w:t>La somme des pourcentages affichés doit être égale à 100%</w:t>
      </w:r>
    </w:p>
    <w:p w:rsidR="004D56D5" w:rsidRDefault="00A45106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60" w:after="0" w:line="240" w:lineRule="auto"/>
        <w:ind w:left="0" w:firstLine="426"/>
        <w:jc w:val="both"/>
        <w:rPr>
          <w:color w:val="0F243E"/>
          <w:sz w:val="24"/>
          <w:szCs w:val="24"/>
        </w:rPr>
      </w:pPr>
      <w:r>
        <w:rPr>
          <w:b/>
          <w:i/>
          <w:color w:val="0F243E"/>
          <w:sz w:val="24"/>
          <w:szCs w:val="24"/>
        </w:rPr>
        <w:t xml:space="preserve">Dès lors que le placement de l’intéressement sera traité par </w:t>
      </w:r>
      <w:proofErr w:type="spellStart"/>
      <w:r>
        <w:rPr>
          <w:b/>
          <w:i/>
          <w:color w:val="0F243E"/>
          <w:sz w:val="24"/>
          <w:szCs w:val="24"/>
        </w:rPr>
        <w:t>Amundi</w:t>
      </w:r>
      <w:proofErr w:type="spellEnd"/>
      <w:r>
        <w:rPr>
          <w:b/>
          <w:i/>
          <w:color w:val="0F243E"/>
          <w:sz w:val="24"/>
          <w:szCs w:val="24"/>
        </w:rPr>
        <w:t xml:space="preserve">, le salarié pourra consulter ses choix de placements et éventuellement les ventiler sur les différents fonds monétaires financiers en se connectant sur son compte </w:t>
      </w:r>
      <w:proofErr w:type="spellStart"/>
      <w:r>
        <w:rPr>
          <w:b/>
          <w:i/>
          <w:color w:val="0F243E"/>
          <w:sz w:val="24"/>
          <w:szCs w:val="24"/>
        </w:rPr>
        <w:t>Amundi</w:t>
      </w:r>
      <w:proofErr w:type="spellEnd"/>
      <w:r>
        <w:rPr>
          <w:b/>
          <w:i/>
          <w:color w:val="0F243E"/>
          <w:sz w:val="24"/>
          <w:szCs w:val="24"/>
        </w:rPr>
        <w:t>.</w:t>
      </w:r>
    </w:p>
    <w:p w:rsidR="004D56D5" w:rsidRDefault="00A45106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17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sectPr w:rsidR="004D56D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74" w:bottom="567" w:left="1531" w:header="709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F2" w:rsidRDefault="008357F2">
      <w:pPr>
        <w:spacing w:after="0" w:line="240" w:lineRule="auto"/>
      </w:pPr>
      <w:r>
        <w:separator/>
      </w:r>
    </w:p>
  </w:endnote>
  <w:endnote w:type="continuationSeparator" w:id="0">
    <w:p w:rsidR="008357F2" w:rsidRDefault="0083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5" w:rsidRDefault="004D56D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5" w:rsidRDefault="004D56D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09" w:type="dxa"/>
      <w:tblInd w:w="108" w:type="dxa"/>
      <w:tblLayout w:type="fixed"/>
      <w:tblLook w:val="0000" w:firstRow="0" w:lastRow="0" w:firstColumn="0" w:lastColumn="0" w:noHBand="0" w:noVBand="0"/>
    </w:tblPr>
    <w:tblGrid>
      <w:gridCol w:w="9161"/>
      <w:gridCol w:w="848"/>
    </w:tblGrid>
    <w:tr w:rsidR="004D56D5">
      <w:tc>
        <w:tcPr>
          <w:tcW w:w="9161" w:type="dxa"/>
        </w:tcPr>
        <w:p w:rsidR="004D56D5" w:rsidRDefault="004D56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entury Gothic" w:eastAsia="Century Gothic" w:hAnsi="Century Gothic" w:cs="Century Gothic"/>
              <w:color w:val="0C419A"/>
              <w:sz w:val="18"/>
              <w:szCs w:val="18"/>
            </w:rPr>
          </w:pPr>
        </w:p>
      </w:tc>
      <w:tc>
        <w:tcPr>
          <w:tcW w:w="848" w:type="dxa"/>
          <w:vMerge w:val="restart"/>
        </w:tcPr>
        <w:p w:rsidR="004D56D5" w:rsidRDefault="004D56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</w:tc>
    </w:tr>
    <w:tr w:rsidR="004D56D5">
      <w:tc>
        <w:tcPr>
          <w:tcW w:w="9161" w:type="dxa"/>
        </w:tcPr>
        <w:p w:rsidR="004D56D5" w:rsidRDefault="004D56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entury Gothic" w:eastAsia="Century Gothic" w:hAnsi="Century Gothic" w:cs="Century Gothic"/>
              <w:color w:val="0C419A"/>
              <w:sz w:val="16"/>
              <w:szCs w:val="16"/>
            </w:rPr>
          </w:pPr>
        </w:p>
      </w:tc>
      <w:tc>
        <w:tcPr>
          <w:tcW w:w="848" w:type="dxa"/>
          <w:vMerge/>
        </w:tcPr>
        <w:p w:rsidR="004D56D5" w:rsidRDefault="004D56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C419A"/>
              <w:sz w:val="16"/>
              <w:szCs w:val="16"/>
            </w:rPr>
          </w:pPr>
        </w:p>
      </w:tc>
    </w:tr>
    <w:tr w:rsidR="004D56D5">
      <w:tc>
        <w:tcPr>
          <w:tcW w:w="9161" w:type="dxa"/>
        </w:tcPr>
        <w:p w:rsidR="004D56D5" w:rsidRDefault="004D56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entury Gothic" w:eastAsia="Century Gothic" w:hAnsi="Century Gothic" w:cs="Century Gothic"/>
              <w:color w:val="0C419A"/>
              <w:sz w:val="16"/>
              <w:szCs w:val="16"/>
            </w:rPr>
          </w:pPr>
        </w:p>
      </w:tc>
      <w:tc>
        <w:tcPr>
          <w:tcW w:w="848" w:type="dxa"/>
          <w:vMerge/>
        </w:tcPr>
        <w:p w:rsidR="004D56D5" w:rsidRDefault="004D56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C419A"/>
              <w:sz w:val="16"/>
              <w:szCs w:val="16"/>
            </w:rPr>
          </w:pPr>
        </w:p>
      </w:tc>
    </w:tr>
  </w:tbl>
  <w:p w:rsidR="004D56D5" w:rsidRDefault="004D56D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5" w:rsidRDefault="004D56D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F2" w:rsidRDefault="008357F2">
      <w:pPr>
        <w:spacing w:after="0" w:line="240" w:lineRule="auto"/>
      </w:pPr>
      <w:r>
        <w:separator/>
      </w:r>
    </w:p>
  </w:footnote>
  <w:footnote w:type="continuationSeparator" w:id="0">
    <w:p w:rsidR="008357F2" w:rsidRDefault="0083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5" w:rsidRDefault="004D56D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5" w:rsidRDefault="004D56D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223"/>
    <w:multiLevelType w:val="multilevel"/>
    <w:tmpl w:val="B8AAE3B2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610F0E"/>
    <w:multiLevelType w:val="multilevel"/>
    <w:tmpl w:val="67B06386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2774A2"/>
    <w:multiLevelType w:val="multilevel"/>
    <w:tmpl w:val="72A6E47A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117963"/>
    <w:multiLevelType w:val="multilevel"/>
    <w:tmpl w:val="5E4E504E"/>
    <w:lvl w:ilvl="0">
      <w:numFmt w:val="bullet"/>
      <w:lvlText w:val="-"/>
      <w:lvlJc w:val="left"/>
      <w:pPr>
        <w:ind w:left="3192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BBC46CB"/>
    <w:multiLevelType w:val="multilevel"/>
    <w:tmpl w:val="15F82762"/>
    <w:lvl w:ilvl="0">
      <w:numFmt w:val="bullet"/>
      <w:lvlText w:val="-"/>
      <w:lvlJc w:val="left"/>
      <w:pPr>
        <w:ind w:left="142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-"/>
      <w:lvlJc w:val="left"/>
      <w:pPr>
        <w:ind w:left="2868" w:hanging="36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D5"/>
    <w:rsid w:val="000E4E1A"/>
    <w:rsid w:val="002B789C"/>
    <w:rsid w:val="003A6B99"/>
    <w:rsid w:val="003B5212"/>
    <w:rsid w:val="003F4433"/>
    <w:rsid w:val="004D56A5"/>
    <w:rsid w:val="004D56D5"/>
    <w:rsid w:val="00527392"/>
    <w:rsid w:val="005F5FC2"/>
    <w:rsid w:val="00612A69"/>
    <w:rsid w:val="00693643"/>
    <w:rsid w:val="007A039F"/>
    <w:rsid w:val="008357F2"/>
    <w:rsid w:val="008C2116"/>
    <w:rsid w:val="009772BD"/>
    <w:rsid w:val="009B31A6"/>
    <w:rsid w:val="00A41396"/>
    <w:rsid w:val="00A45106"/>
    <w:rsid w:val="00A56E91"/>
    <w:rsid w:val="00B835E3"/>
    <w:rsid w:val="00BE5354"/>
    <w:rsid w:val="00C0107F"/>
    <w:rsid w:val="00C32C14"/>
    <w:rsid w:val="00E54953"/>
    <w:rsid w:val="00F07F15"/>
    <w:rsid w:val="00F25181"/>
    <w:rsid w:val="00F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5BBB-D0C3-4AF8-990F-95427D2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4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0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107F"/>
  </w:style>
  <w:style w:type="character" w:styleId="Lienhypertexte">
    <w:name w:val="Hyperlink"/>
    <w:basedOn w:val="Policepardfaut"/>
    <w:uiPriority w:val="99"/>
    <w:unhideWhenUsed/>
    <w:rsid w:val="003B5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essement@cgss-guadeloupe.f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42D-B7AA-4CD8-A632-C5F89109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AREKIAN MARIA ROMAINE (CGSS GUADELOUPE)</dc:creator>
  <cp:lastModifiedBy>AREKIAN MARIA ROMAINE (CGSS GUADELOUPE)</cp:lastModifiedBy>
  <cp:revision>7</cp:revision>
  <cp:lastPrinted>2023-03-23T19:17:00Z</cp:lastPrinted>
  <dcterms:created xsi:type="dcterms:W3CDTF">2024-03-26T19:15:00Z</dcterms:created>
  <dcterms:modified xsi:type="dcterms:W3CDTF">2024-03-28T12:50:00Z</dcterms:modified>
</cp:coreProperties>
</file>